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21CD" w14:textId="77777777" w:rsidR="00452E4B" w:rsidRDefault="008D742E">
      <w:pPr>
        <w:pStyle w:val="2"/>
        <w:widowControl/>
        <w:spacing w:beforeAutospacing="0" w:after="210" w:afterAutospacing="0" w:line="21" w:lineRule="atLeast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333333"/>
          <w:spacing w:val="8"/>
          <w:sz w:val="44"/>
          <w:szCs w:val="44"/>
          <w:shd w:val="clear" w:color="auto" w:fill="FFFFFF"/>
        </w:rPr>
        <w:t>国家级一流课程评审指标</w:t>
      </w:r>
    </w:p>
    <w:p w14:paraId="71F28711" w14:textId="77777777" w:rsidR="00452E4B" w:rsidRDefault="008D742E" w:rsidP="008D742E">
      <w:pPr>
        <w:pStyle w:val="a3"/>
        <w:widowControl/>
        <w:spacing w:beforeLines="50" w:before="156" w:beforeAutospacing="0" w:afterAutospacing="0"/>
        <w:jc w:val="both"/>
        <w:rPr>
          <w:rStyle w:val="a4"/>
          <w:rFonts w:ascii="方正仿宋_GB2312" w:eastAsia="方正仿宋_GB2312" w:hAnsi="方正仿宋_GB2312" w:cs="方正仿宋_GB2312"/>
          <w:color w:val="333333"/>
          <w:sz w:val="30"/>
          <w:szCs w:val="30"/>
          <w:shd w:val="clear" w:color="auto" w:fill="FFFFFF"/>
        </w:rPr>
      </w:pPr>
      <w:r>
        <w:rPr>
          <w:rStyle w:val="a4"/>
          <w:rFonts w:ascii="方正仿宋_GB2312" w:eastAsia="方正仿宋_GB2312" w:hAnsi="方正仿宋_GB2312" w:cs="方正仿宋_GB2312" w:hint="eastAsia"/>
          <w:color w:val="333333"/>
          <w:sz w:val="30"/>
          <w:szCs w:val="30"/>
          <w:shd w:val="clear" w:color="auto" w:fill="FFFFFF"/>
        </w:rPr>
        <w:t>一、线上一流课程评审指标</w:t>
      </w:r>
    </w:p>
    <w:p w14:paraId="00348FF7" w14:textId="77777777" w:rsidR="00452E4B" w:rsidRDefault="008D742E">
      <w:pPr>
        <w:pStyle w:val="a3"/>
        <w:widowControl/>
        <w:shd w:val="clear" w:color="auto" w:fill="FFFFFF"/>
        <w:spacing w:beforeAutospacing="0" w:afterAutospacing="0"/>
        <w:jc w:val="both"/>
        <w:rPr>
          <w:rFonts w:ascii="方正仿宋_GB2312" w:eastAsia="方正仿宋_GB2312" w:hAnsi="方正仿宋_GB2312" w:cs="方正仿宋_GB2312"/>
          <w:spacing w:val="8"/>
        </w:rPr>
      </w:pPr>
      <w:r>
        <w:rPr>
          <w:rStyle w:val="a4"/>
          <w:rFonts w:ascii="方正仿宋_GB2312" w:eastAsia="方正仿宋_GB2312" w:hAnsi="方正仿宋_GB2312" w:cs="方正仿宋_GB2312" w:hint="eastAsia"/>
          <w:color w:val="333333"/>
          <w:spacing w:val="8"/>
          <w:shd w:val="clear" w:color="auto" w:fill="FFFFFF"/>
        </w:rPr>
        <w:t>1、否决性指标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6957"/>
      </w:tblGrid>
      <w:tr w:rsidR="00452E4B" w14:paraId="77E802CE" w14:textId="77777777" w:rsidTr="008D742E"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B83A2B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项</w:t>
            </w:r>
          </w:p>
        </w:tc>
        <w:tc>
          <w:tcPr>
            <w:tcW w:w="71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40611DD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细则</w:t>
            </w:r>
          </w:p>
        </w:tc>
      </w:tr>
      <w:tr w:rsidR="00452E4B" w14:paraId="44092ED3" w14:textId="77777777" w:rsidTr="008D742E">
        <w:tc>
          <w:tcPr>
            <w:tcW w:w="1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AC08988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平台</w:t>
            </w:r>
          </w:p>
          <w:p w14:paraId="6768E11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资格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D8F785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1、无工信部ICP网站备案、无公安机关网站备案号、无信息安全二级以上等级保护证书2、非面向社会或高校开放平台</w:t>
            </w:r>
          </w:p>
        </w:tc>
      </w:tr>
      <w:tr w:rsidR="00452E4B" w14:paraId="029C7D78" w14:textId="77777777" w:rsidTr="008D742E">
        <w:tc>
          <w:tcPr>
            <w:tcW w:w="1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2F56207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课程资格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1628E1A2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1、申报材料不齐备</w:t>
            </w:r>
          </w:p>
          <w:p w14:paraId="3964BA4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2、课程无法登录或无法打开</w:t>
            </w:r>
          </w:p>
          <w:p w14:paraId="6849FE2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3、无法显示完整内容和教学活动</w:t>
            </w:r>
          </w:p>
          <w:p w14:paraId="79A7A38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4、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非慕课</w:t>
            </w:r>
            <w:proofErr w:type="gramEnd"/>
          </w:p>
          <w:p w14:paraId="2F3AA82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5、非本科/高职/专科教育课程</w:t>
            </w:r>
          </w:p>
          <w:p w14:paraId="785195BD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6、开设时间或期数不符合申报要求</w:t>
            </w:r>
          </w:p>
          <w:p w14:paraId="6CEA6EFD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7、教师无在线教学服务</w:t>
            </w:r>
          </w:p>
          <w:p w14:paraId="78B0DF8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8、负责人非申报高校正式聘任教师</w:t>
            </w:r>
          </w:p>
          <w:p w14:paraId="347B8B5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9、存在思想性或较严重的科学性问题</w:t>
            </w:r>
          </w:p>
        </w:tc>
      </w:tr>
      <w:tr w:rsidR="00452E4B" w14:paraId="30150C6A" w14:textId="77777777" w:rsidTr="008D742E">
        <w:tc>
          <w:tcPr>
            <w:tcW w:w="1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48860C4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造假、侵权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992F08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1、材料、数据造假</w:t>
            </w:r>
          </w:p>
          <w:p w14:paraId="7521E32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2、发现且确认有侵权现象</w:t>
            </w:r>
          </w:p>
        </w:tc>
      </w:tr>
      <w:tr w:rsidR="00452E4B" w14:paraId="69FB84B6" w14:textId="77777777" w:rsidTr="008D742E">
        <w:tc>
          <w:tcPr>
            <w:tcW w:w="13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28A1B0C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不适合</w:t>
            </w:r>
          </w:p>
          <w:p w14:paraId="773C5B5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网络传播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18943D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课程内容不适合网络公开传播</w:t>
            </w:r>
          </w:p>
        </w:tc>
      </w:tr>
    </w:tbl>
    <w:p w14:paraId="711F2783" w14:textId="77777777" w:rsidR="008D742E" w:rsidRDefault="008D742E">
      <w:pPr>
        <w:pStyle w:val="a3"/>
        <w:widowControl/>
        <w:shd w:val="clear" w:color="auto" w:fill="FFFFFF"/>
        <w:spacing w:beforeAutospacing="0" w:afterAutospacing="0"/>
        <w:jc w:val="both"/>
        <w:rPr>
          <w:rStyle w:val="a4"/>
          <w:rFonts w:ascii="方正仿宋_GB2312" w:eastAsia="方正仿宋_GB2312" w:hAnsi="方正仿宋_GB2312" w:cs="方正仿宋_GB2312"/>
          <w:color w:val="333333"/>
          <w:spacing w:val="8"/>
          <w:shd w:val="clear" w:color="auto" w:fill="FFFFFF"/>
        </w:rPr>
      </w:pPr>
    </w:p>
    <w:p w14:paraId="533BADEC" w14:textId="77777777" w:rsidR="008D742E" w:rsidRDefault="008D742E">
      <w:pPr>
        <w:pStyle w:val="a3"/>
        <w:widowControl/>
        <w:shd w:val="clear" w:color="auto" w:fill="FFFFFF"/>
        <w:spacing w:beforeAutospacing="0" w:afterAutospacing="0"/>
        <w:jc w:val="both"/>
        <w:rPr>
          <w:rStyle w:val="a4"/>
          <w:rFonts w:ascii="方正仿宋_GB2312" w:eastAsia="方正仿宋_GB2312" w:hAnsi="方正仿宋_GB2312" w:cs="方正仿宋_GB2312"/>
          <w:color w:val="333333"/>
          <w:spacing w:val="8"/>
          <w:shd w:val="clear" w:color="auto" w:fill="FFFFFF"/>
        </w:rPr>
      </w:pPr>
    </w:p>
    <w:p w14:paraId="338C0EC7" w14:textId="77777777" w:rsidR="00452E4B" w:rsidRDefault="008D742E">
      <w:pPr>
        <w:pStyle w:val="a3"/>
        <w:widowControl/>
        <w:shd w:val="clear" w:color="auto" w:fill="FFFFFF"/>
        <w:spacing w:beforeAutospacing="0" w:afterAutospacing="0"/>
        <w:jc w:val="both"/>
        <w:rPr>
          <w:rStyle w:val="a4"/>
          <w:rFonts w:ascii="方正仿宋_GB2312" w:eastAsia="方正仿宋_GB2312" w:hAnsi="方正仿宋_GB2312" w:cs="方正仿宋_GB2312"/>
          <w:color w:val="333333"/>
          <w:spacing w:val="8"/>
          <w:shd w:val="clear" w:color="auto" w:fill="FFFFFF"/>
        </w:rPr>
      </w:pPr>
      <w:r>
        <w:rPr>
          <w:rStyle w:val="a4"/>
          <w:rFonts w:ascii="方正仿宋_GB2312" w:eastAsia="方正仿宋_GB2312" w:hAnsi="方正仿宋_GB2312" w:cs="方正仿宋_GB2312" w:hint="eastAsia"/>
          <w:color w:val="333333"/>
          <w:spacing w:val="8"/>
          <w:shd w:val="clear" w:color="auto" w:fill="FFFFFF"/>
        </w:rPr>
        <w:lastRenderedPageBreak/>
        <w:t>2、评审指标细则</w:t>
      </w:r>
    </w:p>
    <w:tbl>
      <w:tblPr>
        <w:tblW w:w="8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992"/>
        <w:gridCol w:w="6275"/>
        <w:gridCol w:w="581"/>
      </w:tblGrid>
      <w:tr w:rsidR="00452E4B" w14:paraId="1C05289C" w14:textId="77777777" w:rsidTr="008D742E"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F1FAC2E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Style w:val="a4"/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Style w:val="a4"/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一级</w:t>
            </w:r>
          </w:p>
          <w:p w14:paraId="1D1D29E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Style w:val="a4"/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指标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2DDE19C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Style w:val="a4"/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Style w:val="a4"/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二级</w:t>
            </w:r>
          </w:p>
          <w:p w14:paraId="1524CAD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Style w:val="a4"/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指标</w:t>
            </w:r>
          </w:p>
        </w:tc>
        <w:tc>
          <w:tcPr>
            <w:tcW w:w="6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F86FB5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Style w:val="a4"/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观测点及描述</w:t>
            </w:r>
          </w:p>
        </w:tc>
        <w:tc>
          <w:tcPr>
            <w:tcW w:w="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86529E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Style w:val="a4"/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分数</w:t>
            </w:r>
          </w:p>
        </w:tc>
      </w:tr>
      <w:tr w:rsidR="00452E4B" w14:paraId="1F788022" w14:textId="77777777" w:rsidTr="008D742E">
        <w:tc>
          <w:tcPr>
            <w:tcW w:w="7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CF3AA2A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一、</w:t>
            </w:r>
          </w:p>
          <w:p w14:paraId="7AD3B74A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课程</w:t>
            </w:r>
          </w:p>
          <w:p w14:paraId="272B8E44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内容</w:t>
            </w:r>
          </w:p>
          <w:p w14:paraId="4CFD8E42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 20分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64765B9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1-1</w:t>
            </w:r>
          </w:p>
          <w:p w14:paraId="6C164BB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规范性</w:t>
            </w:r>
          </w:p>
          <w:p w14:paraId="2E6284D7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48F0725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课程内容为高校教学内容，符合《普通高等学校本科专业类教学质量国家标准》等要求，课程定位准确，教学内容质量高；课程知识体系科学完整。（若课程内容不规范，不适合列入高校人才培养方案的，此项为0分。）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E11E48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3A58E449" w14:textId="77777777" w:rsidTr="008D742E"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CD86C92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5C9FD2C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1-2</w:t>
            </w:r>
          </w:p>
          <w:p w14:paraId="71025C9E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思想性、</w:t>
            </w:r>
          </w:p>
          <w:p w14:paraId="02A81F39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科学性、</w:t>
            </w:r>
          </w:p>
          <w:p w14:paraId="06C29112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先进性</w:t>
            </w:r>
          </w:p>
          <w:p w14:paraId="71441E54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D4C7597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坚持立德树人，将思想政治教育内化为课程内容，弘扬社会主义核心价值观；课程内容先进、新颖，反映学科专业先进的核心理论和成果，体现教改教研成果，具有较高的科学性水平，注重运用知识解决实际问题。（若存在思想性或较严重的科学性问题，此项为0分，请在否决性指标11中勾选，直接提交，结束评审此课程为0分。）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94800F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163BA3D5" w14:textId="77777777" w:rsidTr="008D742E"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F3A89F9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3CC2446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 xml:space="preserve">1-3 </w:t>
            </w:r>
          </w:p>
          <w:p w14:paraId="49984CF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安全性</w:t>
            </w:r>
          </w:p>
          <w:p w14:paraId="72CEBBFC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00E9B3A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课程无危害国家安全、涉密及其他不适宜网络公开传播的内容，无侵犯他人知识产权内容。(若存在有不适合公开的课程内容或有确凿证据证明有侵权情况，此项为0分，请在否决性指标13（14）中勾选，直接提交，结束评审，此课程为0分。）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B65AA1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0B32510F" w14:textId="77777777" w:rsidTr="008D742E"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908D136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24ECC40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 xml:space="preserve">1-4 </w:t>
            </w:r>
          </w:p>
          <w:p w14:paraId="13FE7F9B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适当性、</w:t>
            </w:r>
          </w:p>
          <w:p w14:paraId="2572144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多样性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481DA9D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课程内容及教学环节配置丰富、多样，深浅度合理，内容更新和完善及时。在线考试难易度适当，有区分度。(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若学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分课程的内容过于浅显，或考核评判标准过低，此 项为0分。）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4AC908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5DF66B65" w14:textId="77777777" w:rsidTr="008D742E">
        <w:trPr>
          <w:trHeight w:val="360"/>
        </w:trPr>
        <w:tc>
          <w:tcPr>
            <w:tcW w:w="7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45C6C24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二、</w:t>
            </w:r>
          </w:p>
          <w:p w14:paraId="08AD63B1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课程</w:t>
            </w:r>
          </w:p>
          <w:p w14:paraId="7ED64321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教</w:t>
            </w:r>
          </w:p>
          <w:p w14:paraId="7CDA5447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学</w:t>
            </w:r>
          </w:p>
          <w:p w14:paraId="5EE01B68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设计 </w:t>
            </w:r>
          </w:p>
          <w:p w14:paraId="5688491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 25分</w:t>
            </w:r>
          </w:p>
          <w:p w14:paraId="45699954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F2C0367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2-1</w:t>
            </w:r>
          </w:p>
          <w:p w14:paraId="568B891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合理性 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2172F2A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教学目标明确，教学方法与教学活动组织科学合理，符合教育教学规律。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E79491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5FF63204" w14:textId="77777777" w:rsidTr="008D742E"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182F2AF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7A4FA1E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2-2</w:t>
            </w:r>
          </w:p>
          <w:p w14:paraId="7F1C22D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方向性</w:t>
            </w:r>
          </w:p>
          <w:p w14:paraId="757293E9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7A135D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符合以学生为中心的课程教学改革方向，注重激发学生学习志趣和潜能，增强学生的社会责任感、创新精神和实践能力；信息技术与教育教学融合，课程应用与课程服务相融通，  适合在线学习、翻转课堂以及线上线下混合式拓展性学习。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E9AB3F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10分</w:t>
            </w:r>
          </w:p>
        </w:tc>
      </w:tr>
      <w:tr w:rsidR="00452E4B" w14:paraId="52537DE0" w14:textId="77777777" w:rsidTr="008D742E"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2E99AE6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6E81C0E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2-3</w:t>
            </w:r>
          </w:p>
          <w:p w14:paraId="21892F4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创新性</w:t>
            </w:r>
          </w:p>
          <w:p w14:paraId="26E6F695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58E726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有针对性地解决当前教育教学中存在的问题，充分利用和发挥网络教学优势，各教学环节充分、有效，满足学生的在线学习的诉求，不是传统课堂的简单翻版。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4C846D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10分</w:t>
            </w:r>
          </w:p>
        </w:tc>
      </w:tr>
      <w:tr w:rsidR="00452E4B" w14:paraId="59ADFE5D" w14:textId="77777777" w:rsidTr="008D742E">
        <w:tc>
          <w:tcPr>
            <w:tcW w:w="7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810E24C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三、</w:t>
            </w:r>
          </w:p>
          <w:p w14:paraId="6AC67B56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课程</w:t>
            </w:r>
          </w:p>
          <w:p w14:paraId="5B768A80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团队</w:t>
            </w:r>
          </w:p>
          <w:p w14:paraId="6DAC3ED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 10分</w:t>
            </w:r>
          </w:p>
          <w:p w14:paraId="03F4B9D9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E8A5C39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3-1</w:t>
            </w:r>
          </w:p>
          <w:p w14:paraId="7D00DED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 xml:space="preserve"> 负责人</w:t>
            </w:r>
          </w:p>
          <w:p w14:paraId="257263D5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06CA7FD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在本课程专业领域有较高学术造诣，教学经验丰富，教学水平高，在推进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基于慕课的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信息技术与教育教学深度融合的课程改革中投入精力大，有一定影响度。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37564E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652B02A9" w14:textId="77777777" w:rsidTr="008D742E"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30411F3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E315ACA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 xml:space="preserve">3-2 </w:t>
            </w:r>
          </w:p>
          <w:p w14:paraId="5674C41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团队 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894570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 xml:space="preserve">主讲教师师德好、教学能力强，教学表现力强，课程团 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队结构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合理。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DDAFD0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34643638" w14:textId="77777777" w:rsidTr="008D742E">
        <w:tc>
          <w:tcPr>
            <w:tcW w:w="7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E1201E9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四、</w:t>
            </w:r>
          </w:p>
          <w:p w14:paraId="53E00C6E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教学</w:t>
            </w:r>
          </w:p>
          <w:p w14:paraId="5549A80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支持 20分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5C127F6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 xml:space="preserve">4-1 </w:t>
            </w:r>
          </w:p>
          <w:p w14:paraId="5E26BA0B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团队</w:t>
            </w:r>
          </w:p>
          <w:p w14:paraId="0EBC223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服务</w:t>
            </w:r>
          </w:p>
          <w:p w14:paraId="627A9417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39021F5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通过课程平台，教师按照教学计划和要求为学习者提供测验、作业、考试、答疑、讨论等教学活动，及时开展 有效的在线指导与测评。（若教学团队成员未参与学习者答疑、讨论等教学活动，此项为0分。）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B73613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10分</w:t>
            </w:r>
          </w:p>
        </w:tc>
      </w:tr>
      <w:tr w:rsidR="00452E4B" w14:paraId="024411C9" w14:textId="77777777" w:rsidTr="008D742E"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380DCA3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19D07F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4-2 学习者活动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0479C2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学习者在线学习响应度高，师生互动活跃。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63D21B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10分</w:t>
            </w:r>
          </w:p>
        </w:tc>
      </w:tr>
      <w:tr w:rsidR="00452E4B" w14:paraId="7B682BBC" w14:textId="77777777" w:rsidTr="008D742E">
        <w:trPr>
          <w:trHeight w:val="694"/>
        </w:trPr>
        <w:tc>
          <w:tcPr>
            <w:tcW w:w="78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86B09FD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五、</w:t>
            </w:r>
          </w:p>
          <w:p w14:paraId="0D6AEAB5" w14:textId="77777777" w:rsidR="008D742E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应用</w:t>
            </w:r>
          </w:p>
          <w:p w14:paraId="59BAEA4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 xml:space="preserve">效果与影响  </w:t>
            </w: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25分</w:t>
            </w:r>
          </w:p>
          <w:p w14:paraId="72BA69CA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479512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5-1开放性 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D2C5A0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面向其他高校和社会学习者开放学习程度高。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985C1C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43859A80" w14:textId="77777777" w:rsidTr="008D742E"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662C4D4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625EAD4" w14:textId="77777777" w:rsidR="00452E4B" w:rsidRDefault="008D742E" w:rsidP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5-2课程本校应用</w:t>
            </w: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情况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7AEC3D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在本校将在线课程与课堂教学结合，推动教</w:t>
            </w:r>
          </w:p>
          <w:p w14:paraId="769C26F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学方法改革，有效提高教学质量。（若未应 用于本校课程改革，此</w:t>
            </w: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项为0分。）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F90728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5分</w:t>
            </w:r>
          </w:p>
        </w:tc>
      </w:tr>
      <w:tr w:rsidR="00452E4B" w14:paraId="22B385CF" w14:textId="77777777" w:rsidTr="008D742E">
        <w:trPr>
          <w:trHeight w:val="2994"/>
        </w:trPr>
        <w:tc>
          <w:tcPr>
            <w:tcW w:w="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784FFF5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45C439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5-3 在其他高校和社会学习者中应 用共享情况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2995C0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共享范围广，应用模式多样，应用效果好，社</w:t>
            </w:r>
          </w:p>
          <w:p w14:paraId="706D766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会影响力大，受益教师和学习者反馈、评价高。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263334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15分</w:t>
            </w:r>
          </w:p>
        </w:tc>
      </w:tr>
    </w:tbl>
    <w:p w14:paraId="5C212D90" w14:textId="77777777" w:rsidR="00452E4B" w:rsidRDefault="008D742E" w:rsidP="008D742E">
      <w:pPr>
        <w:pStyle w:val="a3"/>
        <w:widowControl/>
        <w:spacing w:beforeLines="50" w:before="156" w:beforeAutospacing="0" w:afterAutospacing="0"/>
        <w:jc w:val="both"/>
        <w:rPr>
          <w:rStyle w:val="a4"/>
          <w:rFonts w:ascii="方正仿宋_GB2312" w:eastAsia="方正仿宋_GB2312" w:hAnsi="方正仿宋_GB2312" w:cs="方正仿宋_GB2312"/>
          <w:color w:val="333333"/>
          <w:sz w:val="30"/>
          <w:szCs w:val="30"/>
          <w:shd w:val="clear" w:color="auto" w:fill="FFFFFF"/>
        </w:rPr>
      </w:pPr>
      <w:r>
        <w:rPr>
          <w:rStyle w:val="a4"/>
          <w:rFonts w:ascii="方正仿宋_GB2312" w:eastAsia="方正仿宋_GB2312" w:hAnsi="方正仿宋_GB2312" w:cs="方正仿宋_GB2312" w:hint="eastAsia"/>
          <w:color w:val="333333"/>
          <w:sz w:val="30"/>
          <w:szCs w:val="30"/>
          <w:shd w:val="clear" w:color="auto" w:fill="FFFFFF"/>
        </w:rPr>
        <w:t>二、线下一流课程评审指标</w:t>
      </w:r>
    </w:p>
    <w:p w14:paraId="7FDDE592" w14:textId="77777777" w:rsidR="00452E4B" w:rsidRDefault="008D742E">
      <w:pPr>
        <w:pStyle w:val="a3"/>
        <w:widowControl/>
        <w:shd w:val="clear" w:color="auto" w:fill="FFFFFF"/>
        <w:spacing w:beforeAutospacing="0" w:afterAutospacing="0"/>
        <w:jc w:val="both"/>
        <w:rPr>
          <w:rFonts w:ascii="方正仿宋_GB2312" w:eastAsia="方正仿宋_GB2312" w:hAnsi="方正仿宋_GB2312" w:cs="方正仿宋_GB2312"/>
          <w:spacing w:val="8"/>
        </w:rPr>
      </w:pPr>
      <w:r>
        <w:rPr>
          <w:rStyle w:val="a4"/>
          <w:rFonts w:ascii="方正仿宋_GB2312" w:eastAsia="方正仿宋_GB2312" w:hAnsi="方正仿宋_GB2312" w:cs="方正仿宋_GB2312" w:hint="eastAsia"/>
          <w:color w:val="333333"/>
          <w:spacing w:val="8"/>
          <w:shd w:val="clear" w:color="auto" w:fill="FFFFFF"/>
        </w:rPr>
        <w:t>1、否决性指标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7162"/>
      </w:tblGrid>
      <w:tr w:rsidR="00452E4B" w14:paraId="4D44C9C2" w14:textId="77777777">
        <w:tc>
          <w:tcPr>
            <w:tcW w:w="1147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EBD005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1"/>
                <w:szCs w:val="21"/>
              </w:rPr>
              <w:t>项</w:t>
            </w:r>
          </w:p>
        </w:tc>
        <w:tc>
          <w:tcPr>
            <w:tcW w:w="7309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3C2A51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1"/>
                <w:szCs w:val="21"/>
              </w:rPr>
              <w:t>细则</w:t>
            </w:r>
          </w:p>
        </w:tc>
      </w:tr>
      <w:tr w:rsidR="00452E4B" w14:paraId="403FC3E4" w14:textId="77777777">
        <w:tc>
          <w:tcPr>
            <w:tcW w:w="1147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2FD063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课程资质</w:t>
            </w:r>
          </w:p>
        </w:tc>
        <w:tc>
          <w:tcPr>
            <w:tcW w:w="7309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FE47E05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1、非本科学分课程 查看教务系统提供的截图</w:t>
            </w:r>
          </w:p>
          <w:p w14:paraId="1BC339F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2、开设时间或期数不符合申报要求 申报截止日期前未完成至少两个完整的教 学学期或周期（查教务系统截图）</w:t>
            </w:r>
          </w:p>
          <w:p w14:paraId="2B93A2C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3、课程基本信息有明显不一致 重点对比与教务系统截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图是否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一致：课程名称、授课教师、学时，查看有关说明材料。</w:t>
            </w:r>
          </w:p>
          <w:p w14:paraId="59D7A0C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4、申报材料不齐备，缺少必须提供的关键材料 查看是否缺少申报书中的“七、 附件材料清单中的1-5项”的某项材料。</w:t>
            </w:r>
          </w:p>
        </w:tc>
      </w:tr>
      <w:tr w:rsidR="00452E4B" w14:paraId="2BAF1A04" w14:textId="77777777">
        <w:tc>
          <w:tcPr>
            <w:tcW w:w="1147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94AD43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教师资格</w:t>
            </w:r>
          </w:p>
        </w:tc>
        <w:tc>
          <w:tcPr>
            <w:tcW w:w="7309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6BD6D9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1、负责人非申报高校正式聘任教师查看“二、课程团队序号1的成员”及其他申报材料</w:t>
            </w:r>
          </w:p>
          <w:p w14:paraId="5C2251F5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 xml:space="preserve">2、团队成员存在师德师风方面问题 查看“十、学校政治审查意见”，根据专 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家掌握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的信息</w:t>
            </w:r>
          </w:p>
        </w:tc>
      </w:tr>
      <w:tr w:rsidR="00452E4B" w14:paraId="761044AF" w14:textId="77777777">
        <w:tc>
          <w:tcPr>
            <w:tcW w:w="1147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785E88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课程内容</w:t>
            </w:r>
          </w:p>
        </w:tc>
        <w:tc>
          <w:tcPr>
            <w:tcW w:w="7309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735DA5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1、存在思想性或较严重的科学性问题 专家审查</w:t>
            </w:r>
          </w:p>
          <w:p w14:paraId="1806BD2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2、申报材料无法支撑课程内容，教学无法实施专家审查</w:t>
            </w:r>
          </w:p>
          <w:p w14:paraId="5592A6A7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3、课程内容涉密 对比提交材料</w:t>
            </w:r>
          </w:p>
        </w:tc>
      </w:tr>
      <w:tr w:rsidR="00452E4B" w14:paraId="4E066DD6" w14:textId="77777777">
        <w:tc>
          <w:tcPr>
            <w:tcW w:w="1147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927DC9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造假、侵权</w:t>
            </w:r>
          </w:p>
        </w:tc>
        <w:tc>
          <w:tcPr>
            <w:tcW w:w="7309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9477AB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1、申报材料造假 对比提交材料，或举报属实</w:t>
            </w:r>
          </w:p>
          <w:p w14:paraId="063C2FE7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2、发现且确认有侵权现象对比提交材料，或举报属实</w:t>
            </w:r>
          </w:p>
        </w:tc>
      </w:tr>
    </w:tbl>
    <w:p w14:paraId="67B07811" w14:textId="77777777" w:rsidR="00452E4B" w:rsidRDefault="00452E4B">
      <w:pPr>
        <w:rPr>
          <w:rFonts w:ascii="方正仿宋_GB2312" w:eastAsia="方正仿宋_GB2312" w:hAnsi="方正仿宋_GB2312" w:cs="方正仿宋_GB2312"/>
          <w:vanish/>
          <w:sz w:val="24"/>
        </w:rPr>
      </w:pPr>
    </w:p>
    <w:p w14:paraId="77FB0F65" w14:textId="77777777" w:rsidR="00452E4B" w:rsidRDefault="008D742E">
      <w:pPr>
        <w:pStyle w:val="a3"/>
        <w:widowControl/>
        <w:shd w:val="clear" w:color="auto" w:fill="FFFFFF"/>
        <w:spacing w:beforeAutospacing="0" w:afterAutospacing="0"/>
        <w:jc w:val="both"/>
        <w:rPr>
          <w:rFonts w:ascii="方正仿宋_GB2312" w:eastAsia="方正仿宋_GB2312" w:hAnsi="方正仿宋_GB2312" w:cs="方正仿宋_GB2312"/>
          <w:spacing w:val="8"/>
        </w:rPr>
      </w:pPr>
      <w:r>
        <w:rPr>
          <w:rStyle w:val="a4"/>
          <w:rFonts w:ascii="方正仿宋_GB2312" w:eastAsia="方正仿宋_GB2312" w:hAnsi="方正仿宋_GB2312" w:cs="方正仿宋_GB2312" w:hint="eastAsia"/>
          <w:color w:val="333333"/>
          <w:spacing w:val="8"/>
          <w:shd w:val="clear" w:color="auto" w:fill="FFFFFF"/>
        </w:rPr>
        <w:t>2、评审指标细则</w:t>
      </w:r>
    </w:p>
    <w:tbl>
      <w:tblPr>
        <w:tblW w:w="8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1038"/>
        <w:gridCol w:w="5350"/>
        <w:gridCol w:w="605"/>
      </w:tblGrid>
      <w:tr w:rsidR="00452E4B" w14:paraId="7F87BB4B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58A931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Style w:val="a4"/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一级指标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03AE8C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Style w:val="a4"/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二级指标</w:t>
            </w:r>
          </w:p>
        </w:tc>
        <w:tc>
          <w:tcPr>
            <w:tcW w:w="5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F01C08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Style w:val="a4"/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观测点及描述</w:t>
            </w: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1442D3A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Style w:val="a4"/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分值</w:t>
            </w:r>
          </w:p>
        </w:tc>
      </w:tr>
      <w:tr w:rsidR="00452E4B" w14:paraId="19BAAA34" w14:textId="77777777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529396A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  <w:p w14:paraId="698C531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一、课程目标符合新时代人才培养要求 15分</w:t>
            </w:r>
          </w:p>
          <w:p w14:paraId="475BE940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C1024ED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1-1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265686D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符合学校办学定位和人才培养目标，坚持立德树人。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763C64A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681DF22E" w14:textId="77777777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9204288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5A5281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1-2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C000A4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坚持知识、能力、素质有机融合，注重提升课程的高阶性、突出课程 的创新性、增加课程的挑战度，契合学生解决复杂问题等综合能力养 成要求。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896469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67B4E577" w14:textId="7777777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FE0AFD1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9C5CE5A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1-3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48A1BFA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目标描述准确具体，对应国家、行业、专业需求，符合培养规律，符合校情、学情，达成路径清晰，便于考核评价。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1601207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  <w:p w14:paraId="5DA03F9A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</w:tr>
      <w:tr w:rsidR="00452E4B" w14:paraId="5208E344" w14:textId="77777777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1D3E877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二、授课教师（团队） 切实投入教学改革 15分</w:t>
            </w:r>
          </w:p>
          <w:p w14:paraId="5989D5BA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7D918C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2-1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E97C2A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秉持学生中心、产出导向、持续改进的理念。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F13B4B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31C87BD1" w14:textId="7777777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A037B2D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2992E2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2-2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98CB94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教学理念融入教学设计，围绕目标达成、教学内容、组织 实施和多元评价需求进行整体规划，教学策略、教学方法 教学过程、教学评价等设计合理。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6ADBA1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3F85D054" w14:textId="7777777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342BFA3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2BED1B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2-3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D7F485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教学改革意识强烈，能够主动运用新技术、新手段、新工 具，创新教学方法，提高教学效率、提升教学质量，教学 能力有显著提升。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7073807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  <w:p w14:paraId="5AFD3923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</w:tr>
      <w:tr w:rsidR="00452E4B" w14:paraId="2A7B3501" w14:textId="77777777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B95ED7A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三、课程内容与时俱进  20分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1C4155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3-1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A72C6E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落实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课程思政建设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要求，通过专业知识教育与思想政治教育的紧密融合，将价值塑造、知识传授和能力培养三者融</w:t>
            </w: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为一体。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044624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5分</w:t>
            </w:r>
          </w:p>
        </w:tc>
      </w:tr>
      <w:tr w:rsidR="00452E4B" w14:paraId="255E4162" w14:textId="7777777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3AD40D4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89CDA3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3-2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46C113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体现前沿性与时代性要求，反映学科专业、行业先进的核心理论和成果，聚焦新工科、新医科、新农科、新文科建设，增加体现多学科思维融合、产业技术与学科理论融合、跨专业能力融合、多学科项目实践融合内容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0DE909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10分</w:t>
            </w:r>
          </w:p>
        </w:tc>
      </w:tr>
      <w:tr w:rsidR="00452E4B" w14:paraId="4C6906D6" w14:textId="7777777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BFF138F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39E2F4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3-3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689EC27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保障教学资源的优质性与适用性，以提升学生综合能力为重点，重塑课程内容。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43550C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54E43D44" w14:textId="77777777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4381515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四、教与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学发生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改变 15分</w:t>
            </w:r>
          </w:p>
          <w:p w14:paraId="268DC290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76DD29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4-1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B341716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  <w:p w14:paraId="58667DF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以教为中心向以学为中心转变，以提升教学效果为目的因材施教，运用适当的数字化教学工具，有效开展线下课堂教学活动。实施打破传统课堂“满堂灌”和沉默状态的方式方法，训练学生问题解决能力和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审辩式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思维能力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EFC01F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10分</w:t>
            </w:r>
          </w:p>
        </w:tc>
      </w:tr>
      <w:tr w:rsidR="00452E4B" w14:paraId="25E7A62C" w14:textId="7777777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30F4021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B1C1772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4-2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FBC21A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学生学习方式有显著变化，安排学生个别化学习与合作学习，强化课堂教学师生互动、生生互动环节，加强研究型、项目式学习。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F63776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43B375AD" w14:textId="77777777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2DEA90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五、评价拓展深化 15分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307FAA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5-1</w:t>
            </w:r>
          </w:p>
          <w:p w14:paraId="142731C9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EAD952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考核方式多元，丰富探究式、论文式、报告答辩式等作业评价方式，加强非标准化、综合性等评价，评价手段恰当必要，契合相对应的人才培养类型。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43FEEA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09E25B33" w14:textId="7777777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6B65519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BEB857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5-2</w:t>
            </w:r>
          </w:p>
          <w:p w14:paraId="056BD07E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42A365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考试考核评价严格，体现过程评价，注重学习效果评价，考核考试评价严格，过程可回溯，诊断改进积极有效。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2733C7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10分</w:t>
            </w:r>
          </w:p>
        </w:tc>
      </w:tr>
      <w:tr w:rsidR="00452E4B" w14:paraId="11F6DB95" w14:textId="77777777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BD16415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六、改革行之有效 20分</w:t>
            </w:r>
          </w:p>
          <w:p w14:paraId="3AF94814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84F07ED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6-1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AEFCEB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学习效果提升，学生对课程的参与度、学习获得感、对教师教学以及课程的满意度有明显提高。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CD9FE2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2111EE02" w14:textId="7777777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652A152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B03977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6-2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3D761F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改革迭代优化，有意识地收集数据开展教学反思、教学研究和教学改进。在多期混合式教学中进行迭 代，不断优化教学的设计和实施。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8D5119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12CFCD16" w14:textId="7777777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7E49645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765C33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6-3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5FEC8E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学校对探索应用智慧教室等信息化教学工具开展线下课程改革、应用信息化手段开展教学管理与质量 监控有配套条件或机制支持。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A6E4167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3190C78B" w14:textId="7777777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8FB6F1A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0E2156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6-4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C5D06C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 xml:space="preserve">较好地解决了传统教学中的短板问题。在树立课程建设新理念、推进相应类型高校课程改革创新、提 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升教学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效果方面显示了明显优势，具有推广价值。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7D92C9A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</w:tbl>
    <w:p w14:paraId="1A43F0CC" w14:textId="77777777" w:rsidR="00452E4B" w:rsidRDefault="008D742E" w:rsidP="008D742E">
      <w:pPr>
        <w:pStyle w:val="a3"/>
        <w:widowControl/>
        <w:spacing w:beforeLines="50" w:before="156" w:beforeAutospacing="0" w:afterAutospacing="0"/>
        <w:jc w:val="both"/>
        <w:rPr>
          <w:rStyle w:val="a4"/>
          <w:rFonts w:ascii="方正仿宋_GB2312" w:eastAsia="方正仿宋_GB2312" w:hAnsi="方正仿宋_GB2312" w:cs="方正仿宋_GB2312"/>
          <w:color w:val="333333"/>
          <w:sz w:val="30"/>
          <w:szCs w:val="30"/>
          <w:shd w:val="clear" w:color="auto" w:fill="FFFFFF"/>
        </w:rPr>
      </w:pPr>
      <w:r>
        <w:rPr>
          <w:rStyle w:val="a4"/>
          <w:rFonts w:ascii="方正仿宋_GB2312" w:eastAsia="方正仿宋_GB2312" w:hAnsi="方正仿宋_GB2312" w:cs="方正仿宋_GB2312" w:hint="eastAsia"/>
          <w:color w:val="333333"/>
          <w:sz w:val="30"/>
          <w:szCs w:val="30"/>
          <w:shd w:val="clear" w:color="auto" w:fill="FFFFFF"/>
        </w:rPr>
        <w:t>三、线上线下混合式一流课程评审指标</w:t>
      </w:r>
    </w:p>
    <w:p w14:paraId="3B7978A8" w14:textId="77777777" w:rsidR="00452E4B" w:rsidRDefault="008D742E">
      <w:pPr>
        <w:pStyle w:val="a3"/>
        <w:widowControl/>
        <w:shd w:val="clear" w:color="auto" w:fill="FFFFFF"/>
        <w:spacing w:beforeAutospacing="0" w:afterAutospacing="0"/>
        <w:jc w:val="both"/>
        <w:rPr>
          <w:rStyle w:val="a4"/>
          <w:rFonts w:ascii="方正仿宋_GB2312" w:eastAsia="方正仿宋_GB2312" w:hAnsi="方正仿宋_GB2312" w:cs="方正仿宋_GB2312"/>
          <w:color w:val="333333"/>
          <w:spacing w:val="8"/>
          <w:shd w:val="clear" w:color="auto" w:fill="FFFFFF"/>
        </w:rPr>
      </w:pPr>
      <w:r>
        <w:rPr>
          <w:rStyle w:val="a4"/>
          <w:rFonts w:ascii="方正仿宋_GB2312" w:eastAsia="方正仿宋_GB2312" w:hAnsi="方正仿宋_GB2312" w:cs="方正仿宋_GB2312" w:hint="eastAsia"/>
          <w:color w:val="333333"/>
          <w:spacing w:val="8"/>
          <w:shd w:val="clear" w:color="auto" w:fill="FFFFFF"/>
        </w:rPr>
        <w:t>1、否决性指标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7084"/>
      </w:tblGrid>
      <w:tr w:rsidR="00452E4B" w14:paraId="5D448FD7" w14:textId="77777777"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E16A7DD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1"/>
                <w:szCs w:val="21"/>
              </w:rPr>
              <w:t>项</w:t>
            </w:r>
          </w:p>
        </w:tc>
        <w:tc>
          <w:tcPr>
            <w:tcW w:w="72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632932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1"/>
                <w:szCs w:val="21"/>
              </w:rPr>
              <w:t>细则</w:t>
            </w:r>
          </w:p>
        </w:tc>
      </w:tr>
      <w:tr w:rsidR="00452E4B" w14:paraId="6D7E2A3D" w14:textId="77777777"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A4F264A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课程资质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97CB00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1、非本科学分课程 查看教务系统提供的截图</w:t>
            </w:r>
          </w:p>
          <w:p w14:paraId="7F7A2A3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2、开设时间或期数不符合申报要求 申报截止日期前未 完成至少两个完整的教学学期或周期（查看教务系统截图）</w:t>
            </w:r>
          </w:p>
          <w:p w14:paraId="0CB2CE9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3、开设时间或期数不符合申报要求 申报截止日期前未 完成至少两个完整的教学学期或周期（查看教务系统截图）</w:t>
            </w:r>
          </w:p>
          <w:p w14:paraId="42AB158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4、申报材料不齐备，缺少必须提供的关键材料 查看 是否缺少申报书中的“七、附件材料清单中的1-6项”的某项材料。</w:t>
            </w:r>
          </w:p>
          <w:p w14:paraId="38666E4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5、课程与推荐申报类型不符（查看是否属于本人或他人的慕课、SPOC或其他在线课程开展线上线下混合式教学）。</w:t>
            </w:r>
          </w:p>
          <w:p w14:paraId="4CA1928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6、课程线上资源无法打开（查看课程链接提供的链接）。</w:t>
            </w:r>
          </w:p>
        </w:tc>
      </w:tr>
      <w:tr w:rsidR="00452E4B" w14:paraId="0CB51154" w14:textId="77777777"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C275C0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课程内容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D02216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1、线上资源选择随意，课程质量差，不符合教学目标要求。</w:t>
            </w:r>
          </w:p>
          <w:p w14:paraId="45C75FDA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2、线上课程教学安排不符合“安排20%-50%的线上 学生自主学习的基本要求” 。</w:t>
            </w:r>
          </w:p>
        </w:tc>
      </w:tr>
      <w:tr w:rsidR="00452E4B" w14:paraId="69E3CECC" w14:textId="77777777"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96682E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教师资格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CB8CB6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1、负责人非申报高校正式聘任教师查看“二、课程团队序号1的成员”及其他申报材料</w:t>
            </w:r>
          </w:p>
          <w:p w14:paraId="285F44E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2、团队成员存在师德师风方面问题查看  “十、学校政治审查意见”，根据专家掌握的信息</w:t>
            </w:r>
          </w:p>
        </w:tc>
      </w:tr>
      <w:tr w:rsidR="00452E4B" w14:paraId="59CCB904" w14:textId="77777777"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38169B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课程内容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6C2344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1、存在思想性或较严重的科学性问题 专家审查</w:t>
            </w:r>
          </w:p>
          <w:p w14:paraId="135C5F9D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2、课程内容涉密 对比提交材料 </w:t>
            </w:r>
          </w:p>
        </w:tc>
      </w:tr>
      <w:tr w:rsidR="00452E4B" w14:paraId="7CE84181" w14:textId="77777777">
        <w:trPr>
          <w:trHeight w:val="630"/>
        </w:trPr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DE2A40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造假、侵权</w:t>
            </w:r>
          </w:p>
        </w:tc>
        <w:tc>
          <w:tcPr>
            <w:tcW w:w="72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ABB3E4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1、申报材料造假 对比提交材料，或举报属实</w:t>
            </w:r>
          </w:p>
          <w:p w14:paraId="1C517AF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2、发现且确认有侵权现象对比提交材料， 或举报属实</w:t>
            </w:r>
          </w:p>
        </w:tc>
      </w:tr>
    </w:tbl>
    <w:p w14:paraId="7525ECE5" w14:textId="77777777" w:rsidR="00452E4B" w:rsidRDefault="008D742E">
      <w:pPr>
        <w:pStyle w:val="a3"/>
        <w:widowControl/>
        <w:shd w:val="clear" w:color="auto" w:fill="FFFFFF"/>
        <w:spacing w:beforeAutospacing="0" w:afterAutospacing="0"/>
        <w:jc w:val="both"/>
        <w:rPr>
          <w:rStyle w:val="a4"/>
          <w:rFonts w:ascii="方正仿宋_GB2312" w:eastAsia="方正仿宋_GB2312" w:hAnsi="方正仿宋_GB2312" w:cs="方正仿宋_GB2312"/>
          <w:color w:val="333333"/>
          <w:spacing w:val="8"/>
          <w:shd w:val="clear" w:color="auto" w:fill="FFFFFF"/>
        </w:rPr>
      </w:pPr>
      <w:r>
        <w:rPr>
          <w:rStyle w:val="a4"/>
          <w:rFonts w:ascii="方正仿宋_GB2312" w:eastAsia="方正仿宋_GB2312" w:hAnsi="方正仿宋_GB2312" w:cs="方正仿宋_GB2312" w:hint="eastAsia"/>
          <w:color w:val="333333"/>
          <w:spacing w:val="8"/>
          <w:shd w:val="clear" w:color="auto" w:fill="FFFFFF"/>
        </w:rPr>
        <w:t>2、评审指标细则</w:t>
      </w: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736"/>
        <w:gridCol w:w="5987"/>
        <w:gridCol w:w="600"/>
      </w:tblGrid>
      <w:tr w:rsidR="00452E4B" w14:paraId="14CD8124" w14:textId="77777777" w:rsidTr="008D742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AFDF0E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B105E9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59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E09539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1"/>
                <w:szCs w:val="21"/>
              </w:rPr>
              <w:t>观测点及描述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6D8C36A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1"/>
                <w:szCs w:val="21"/>
              </w:rPr>
              <w:t>分值</w:t>
            </w:r>
          </w:p>
        </w:tc>
      </w:tr>
      <w:tr w:rsidR="00452E4B" w14:paraId="1E521802" w14:textId="77777777" w:rsidTr="008D742E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AE00E6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一、课程目标符合新时代人才培养要求 15分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0966F52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1-1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639831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符合学校办学定位和人才培养目标，坚持立德树人。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765FAC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69017900" w14:textId="77777777" w:rsidTr="008D742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E6FC04B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030E69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1-2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F0B3DE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坚持知识、能力、素质有机融合，注重提升课程的高阶性、突出课程 的创新性、增加课程的挑战度，契合学生解决复杂问题等综合能力养成要求。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D524A8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0446D34E" w14:textId="77777777" w:rsidTr="008D742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88BE70A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A2B5602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1-3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B8F497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目标描述准确具体，对应国家、行业、专业需求，符合培养规律，符合校情、学情，达成路径清晰，便于考核评价。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3014F2A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7A11A622" w14:textId="77777777" w:rsidTr="008D742E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C25110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二、授课教师</w:t>
            </w: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（团队）切实投入教学改革 15分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50B348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2-1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9E9EF1D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秉持学生中心、产出导向、持续改进的理念。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E86F27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411FB7FA" w14:textId="77777777" w:rsidTr="008D742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21F68CE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A04637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2-2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56830F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教学理念融入教学设计，围绕目标达成、教学内容、组织 实施和多元评价需求进行整体规划，教学策略、教学方法 教学过程、教学评价等设计合理。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92AFC5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1FBD40DF" w14:textId="77777777" w:rsidTr="008D742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8E1BCE5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7189D8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2-3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660BD2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教学改革意识强烈，能够主动运用新技术，创新教学方法提高教学效率、提升教学质量，教学能力有显著提升。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84665D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6EC2A5E3" w14:textId="77777777" w:rsidTr="008D742E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A6E701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三、课程内容与时俱进 20分</w:t>
            </w:r>
          </w:p>
          <w:p w14:paraId="39CF34B1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D253A5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3-1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83B5BB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落实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课程思政建设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要求，通过专业知识教育与思想政治教育的紧密融合，将价值塑造、知识传授和能力培养三者融为一体。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8397177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20588DC5" w14:textId="77777777" w:rsidTr="008D742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C62F67E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B971185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3-2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D87FBAD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体现前沿性与时代性要求，反映学科专业、行业先进的核心 理论和成果，聚焦新工科、新医科、新农科、新文科建设，  增加体现多学科思维融合、产业技术与学科理论融合、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跨专 业能力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融合、多学科项目实践融合内容。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4CEE5F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10分</w:t>
            </w:r>
          </w:p>
        </w:tc>
      </w:tr>
      <w:tr w:rsidR="00452E4B" w14:paraId="0B3A4D2C" w14:textId="77777777" w:rsidTr="008D742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0438707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99FBD75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3-3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03407E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保障教学资源的优质性与适用性，优先选择国家级和省级精品在线开放课程等高质量在线课程资源，结合本校实际对课程内容进行优化，线上、线下内容互补，充分体现混合式优势。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71FD4FA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3D008D74" w14:textId="77777777" w:rsidTr="008D742E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6AF35F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四、教与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学发生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改变15分</w:t>
            </w:r>
          </w:p>
          <w:p w14:paraId="1AB76D80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9F096A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4-1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DCF4AC5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以教为中心向以学为中心转变，符合“安排20-50%的教学时间实施学生线上自主学习”基本要求，以提升教学效果为目的，因材施教，运用适当的数字化教学工具创新教学方式方法，有效开展线上与线下密切衔接的全 过程教学活动。实施打破传统课堂“满堂灌”和沉默状态 的方式方法，训练学生问题解决能力和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审辩式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思维能力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4744ED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10分</w:t>
            </w:r>
          </w:p>
        </w:tc>
      </w:tr>
      <w:tr w:rsidR="00452E4B" w14:paraId="25C80C7C" w14:textId="77777777" w:rsidTr="008D742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93F79B3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32CAAB5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4-2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39DC41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学生学习方式有显著变化，安排学生个别化学习与合作学习，强化课堂教学师生互动、生生互动环节，加强研究型、项目式学习。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6775947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  <w:p w14:paraId="4BA8CCDD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</w:tr>
      <w:tr w:rsidR="00452E4B" w14:paraId="3B5F6E2C" w14:textId="77777777" w:rsidTr="008D742E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693AE7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五、评价拓展深化15分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A99C92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5-1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8C6AB8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考核方式多元，丰富探究式、论文式、报告答辩式等作业评价方式，加强非标准化、综合性等评价，评价手段恰当必要，契合相对应的人才培养类型。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8AFCD2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7B5B5534" w14:textId="77777777" w:rsidTr="008D742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7126F9D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950CDD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5-2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BF6DD2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考试考核评价严格，体现过程评价，注重学习效果评价。学生线上自主学习、作业和测试等评价与参加线下教学活动的评价连贯完整，过程可回溯，诊断改进积极有效。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88FAFE2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10分</w:t>
            </w:r>
          </w:p>
        </w:tc>
      </w:tr>
      <w:tr w:rsidR="00452E4B" w14:paraId="47DE2696" w14:textId="77777777" w:rsidTr="008D742E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9E09F8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六、改革行之有效20分</w:t>
            </w:r>
          </w:p>
          <w:p w14:paraId="3953FC31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5FEC60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6-1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9FFFFC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学习效果提升，学生对课程的参与度、学习获得感、对教师教学以及课程的满意度有明显提高。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D03DA6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183D3E5C" w14:textId="77777777" w:rsidTr="008D742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07B36DD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1F4851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6-2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CA398A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改革迭代优化，有意识地收集数据开展教学反思、教学研究和教学改进。在多期混合式教学中进行迭 代，不断优化教学的设计和实施。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B2426D2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  <w:p w14:paraId="44F22333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</w:tr>
      <w:tr w:rsidR="00452E4B" w14:paraId="56C28E03" w14:textId="77777777" w:rsidTr="008D742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08E194E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66D7C8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6-3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1504EC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学校对线上线下混合式教学有合理的工作量计算机制、教学管理与质量监控机制等配套支持，并不断 完善。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0EAB22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  <w:tr w:rsidR="00452E4B" w14:paraId="3A6834E9" w14:textId="77777777" w:rsidTr="008D742E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0CEFA3C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F628DEA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6-4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2EB13B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 xml:space="preserve">较好地解决了传统教学中的短板问题。在树立课程建设新理念、推进相应类型高校课程改革创新、提 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升教学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效果方面显示了明显优势，具有推广价值。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F6114D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5分</w:t>
            </w:r>
          </w:p>
        </w:tc>
      </w:tr>
    </w:tbl>
    <w:p w14:paraId="4AC29976" w14:textId="77777777" w:rsidR="00452E4B" w:rsidRDefault="008D742E" w:rsidP="008D742E">
      <w:pPr>
        <w:pStyle w:val="a3"/>
        <w:widowControl/>
        <w:spacing w:beforeLines="50" w:before="156" w:beforeAutospacing="0" w:afterAutospacing="0"/>
        <w:jc w:val="both"/>
        <w:rPr>
          <w:rStyle w:val="a4"/>
          <w:rFonts w:ascii="方正仿宋_GB2312" w:eastAsia="方正仿宋_GB2312" w:hAnsi="方正仿宋_GB2312" w:cs="方正仿宋_GB2312"/>
          <w:color w:val="333333"/>
          <w:sz w:val="30"/>
          <w:szCs w:val="30"/>
          <w:shd w:val="clear" w:color="auto" w:fill="FFFFFF"/>
        </w:rPr>
      </w:pPr>
      <w:r>
        <w:rPr>
          <w:rStyle w:val="a4"/>
          <w:rFonts w:ascii="方正仿宋_GB2312" w:eastAsia="方正仿宋_GB2312" w:hAnsi="方正仿宋_GB2312" w:cs="方正仿宋_GB2312" w:hint="eastAsia"/>
          <w:color w:val="333333"/>
          <w:sz w:val="30"/>
          <w:szCs w:val="30"/>
          <w:shd w:val="clear" w:color="auto" w:fill="FFFFFF"/>
        </w:rPr>
        <w:t>四、虚拟仿真一流课程评审指标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642"/>
        <w:gridCol w:w="1830"/>
        <w:gridCol w:w="4478"/>
      </w:tblGrid>
      <w:tr w:rsidR="00452E4B" w14:paraId="56CE105C" w14:textId="77777777"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68618B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1"/>
                <w:szCs w:val="21"/>
              </w:rPr>
              <w:t>重百分比</w:t>
            </w:r>
          </w:p>
        </w:tc>
        <w:tc>
          <w:tcPr>
            <w:tcW w:w="642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16DE31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1"/>
                <w:szCs w:val="21"/>
              </w:rPr>
              <w:t>一级指标</w:t>
            </w:r>
          </w:p>
        </w:tc>
        <w:tc>
          <w:tcPr>
            <w:tcW w:w="1830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FADCA4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1"/>
                <w:szCs w:val="21"/>
              </w:rPr>
              <w:t>二级指标</w:t>
            </w:r>
          </w:p>
        </w:tc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9373A8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1"/>
                <w:szCs w:val="21"/>
              </w:rPr>
              <w:t>观察点</w:t>
            </w:r>
          </w:p>
        </w:tc>
      </w:tr>
      <w:tr w:rsidR="00452E4B" w14:paraId="08A5A8A5" w14:textId="77777777">
        <w:tc>
          <w:tcPr>
            <w:tcW w:w="0" w:type="auto"/>
            <w:vMerge w:val="restart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A566AD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一、应用强度矩阵 30分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04EB18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应用强度</w:t>
            </w:r>
          </w:p>
          <w:p w14:paraId="05FC2FBB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1830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6BFBD3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实验教学信息化总体规划</w:t>
            </w:r>
          </w:p>
        </w:tc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4CA241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1、实验教学总体规划方案中有关信息化的描述；</w:t>
            </w:r>
          </w:p>
          <w:p w14:paraId="09D6988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2、实验教学信息化中有关虚拟仿真的描述；</w:t>
            </w:r>
          </w:p>
        </w:tc>
      </w:tr>
      <w:tr w:rsidR="00452E4B" w14:paraId="2CA229B8" w14:textId="77777777">
        <w:tc>
          <w:tcPr>
            <w:tcW w:w="0" w:type="auto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6436741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2DD13FC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830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6548F8D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虚拟实验在实验教学课程体系中的位置</w:t>
            </w:r>
          </w:p>
        </w:tc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513E85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1、实验课程在整个课程体系中所占比例；</w:t>
            </w:r>
          </w:p>
          <w:p w14:paraId="37C6375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2、实验课程对主干基础课的支撑程度；</w:t>
            </w:r>
          </w:p>
          <w:p w14:paraId="4A44D7B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3、虚拟实验在实验课程中所占比例；</w:t>
            </w:r>
          </w:p>
          <w:p w14:paraId="4E15928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4、虚拟实验的学习刚性（必修还是选修）</w:t>
            </w:r>
          </w:p>
        </w:tc>
      </w:tr>
      <w:tr w:rsidR="00452E4B" w14:paraId="1C85075F" w14:textId="77777777">
        <w:tc>
          <w:tcPr>
            <w:tcW w:w="0" w:type="auto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4273CED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0593C12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830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A624E9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虚拟仿真项目在实验课程中发挥的作用</w:t>
            </w:r>
          </w:p>
        </w:tc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786CC3D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1、是否坚持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了能实不虚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的原则；</w:t>
            </w:r>
          </w:p>
          <w:p w14:paraId="7FA25E5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2、是否实现了虚实结合；</w:t>
            </w:r>
          </w:p>
          <w:p w14:paraId="130AB31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3、项目完成情况如何认定实验成绩；</w:t>
            </w:r>
          </w:p>
        </w:tc>
      </w:tr>
      <w:tr w:rsidR="00452E4B" w14:paraId="24DB4238" w14:textId="77777777">
        <w:tc>
          <w:tcPr>
            <w:tcW w:w="0" w:type="auto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67879B7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6E22FC8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830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E4FDE6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虚拟仿真实验对原有教学形式的影响</w:t>
            </w:r>
          </w:p>
        </w:tc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912F71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1、是否提高了原有线下实验的效率；</w:t>
            </w:r>
          </w:p>
          <w:p w14:paraId="379E350D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2、是否增强了原有线下实验的效果</w:t>
            </w:r>
          </w:p>
          <w:p w14:paraId="4B660BB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3、是否实现了线上线下相结合。</w:t>
            </w:r>
          </w:p>
        </w:tc>
      </w:tr>
      <w:tr w:rsidR="00452E4B" w14:paraId="3AA85B0B" w14:textId="77777777">
        <w:tc>
          <w:tcPr>
            <w:tcW w:w="0" w:type="auto"/>
            <w:vMerge w:val="restart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A882BA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二、应用广度矩阵 20分</w:t>
            </w:r>
          </w:p>
          <w:p w14:paraId="25002A58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642" w:type="dxa"/>
            <w:vMerge w:val="restart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265490A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应用广度</w:t>
            </w:r>
          </w:p>
          <w:p w14:paraId="52AFBAA8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1830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A98977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本专业应用项目的情况</w:t>
            </w:r>
          </w:p>
        </w:tc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AF6D725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1、必修课使用人数和学时数；2、选修课使用人数和学时数 </w:t>
            </w:r>
          </w:p>
        </w:tc>
      </w:tr>
      <w:tr w:rsidR="00452E4B" w14:paraId="60A10283" w14:textId="77777777">
        <w:tc>
          <w:tcPr>
            <w:tcW w:w="0" w:type="auto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7B97C1A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1DAD9BF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830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3E0483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本学科其他专业应用项目的情况</w:t>
            </w:r>
          </w:p>
        </w:tc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E3FE316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1、使用项目的专业数</w:t>
            </w:r>
          </w:p>
          <w:p w14:paraId="53F7B329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2、涉及的人数和学时数</w:t>
            </w:r>
          </w:p>
        </w:tc>
      </w:tr>
      <w:tr w:rsidR="00452E4B" w14:paraId="0B3F2E14" w14:textId="77777777">
        <w:tc>
          <w:tcPr>
            <w:tcW w:w="0" w:type="auto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BEA3488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2EE1030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830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1EFBF8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本校应用项目的情况</w:t>
            </w:r>
          </w:p>
        </w:tc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594745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1、是否由其他学科使用该项目；2、使用情况；</w:t>
            </w:r>
          </w:p>
        </w:tc>
      </w:tr>
      <w:tr w:rsidR="00452E4B" w14:paraId="79FDD564" w14:textId="77777777">
        <w:tc>
          <w:tcPr>
            <w:tcW w:w="0" w:type="auto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1D75B42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DD4A9FA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830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2899BB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外校应用项目的情况</w:t>
            </w:r>
          </w:p>
        </w:tc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42852D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兄弟院校将该项目用于实验教学的情况</w:t>
            </w:r>
          </w:p>
        </w:tc>
      </w:tr>
      <w:tr w:rsidR="00452E4B" w14:paraId="77342447" w14:textId="77777777">
        <w:tc>
          <w:tcPr>
            <w:tcW w:w="0" w:type="auto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9F069BF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7158726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830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FEE909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其他单位应用项目的情况</w:t>
            </w:r>
          </w:p>
        </w:tc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E2D3418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相关行业将该项目用于科普或员工 培训的情况</w:t>
            </w:r>
          </w:p>
        </w:tc>
      </w:tr>
      <w:tr w:rsidR="00452E4B" w14:paraId="2DCEBBD0" w14:textId="77777777">
        <w:trPr>
          <w:trHeight w:val="675"/>
        </w:trPr>
        <w:tc>
          <w:tcPr>
            <w:tcW w:w="0" w:type="auto"/>
            <w:vMerge w:val="restart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660B467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三、应用效度矩阵 30分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6F58997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应用效度</w:t>
            </w:r>
          </w:p>
          <w:p w14:paraId="74AC4C34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1830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0F46BB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lastRenderedPageBreak/>
              <w:t>虚拟实验填补实验教学空白 </w:t>
            </w:r>
          </w:p>
        </w:tc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BD60D7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通过使用虚拟实验，填补了原有实验教学体 系的空白，更好的支撑了课堂教学</w:t>
            </w:r>
          </w:p>
        </w:tc>
      </w:tr>
      <w:tr w:rsidR="00452E4B" w14:paraId="7F8D0567" w14:textId="77777777">
        <w:tc>
          <w:tcPr>
            <w:tcW w:w="0" w:type="auto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F07D587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A979A60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830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50A11F1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虚拟实验优化原有实验教学 环节</w:t>
            </w:r>
          </w:p>
          <w:p w14:paraId="2E5F25D1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33A7F8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1、通过使用虚拟实验，提高了原实验教学环节 的效率；</w:t>
            </w:r>
          </w:p>
          <w:p w14:paraId="463BCF5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2、通过使用虚拟实验，丰富了教学手段，拓展 课学生动手能力培养方式 </w:t>
            </w:r>
          </w:p>
        </w:tc>
      </w:tr>
      <w:tr w:rsidR="00452E4B" w14:paraId="50CE6B03" w14:textId="77777777">
        <w:tc>
          <w:tcPr>
            <w:tcW w:w="0" w:type="auto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0153C59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9B90CF5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830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B32D8B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虚拟实验的实际教学效果</w:t>
            </w:r>
          </w:p>
        </w:tc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8AFAEEE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 xml:space="preserve">1、通过虚拟实验，学生对理论教学知识点的掌 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握是否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得到加强；</w:t>
            </w:r>
          </w:p>
          <w:p w14:paraId="76D6B5E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2、通过虚拟实验，学生对实验原理、流程和操作是否有效的掌握和模拟训练；</w:t>
            </w:r>
          </w:p>
          <w:p w14:paraId="260C5547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3、通过虚拟实验，对学生综合分析问题和解决问题能力的培养效果</w:t>
            </w:r>
          </w:p>
          <w:p w14:paraId="423044D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4、学生评价与反馈； </w:t>
            </w:r>
          </w:p>
        </w:tc>
      </w:tr>
      <w:tr w:rsidR="00452E4B" w14:paraId="1B0B9126" w14:textId="77777777">
        <w:tc>
          <w:tcPr>
            <w:tcW w:w="0" w:type="auto"/>
            <w:vMerge w:val="restart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9EC29A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四、保障机制矩阵 20分</w:t>
            </w:r>
          </w:p>
        </w:tc>
        <w:tc>
          <w:tcPr>
            <w:tcW w:w="642" w:type="dxa"/>
            <w:vMerge w:val="restart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407DF04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保障机制</w:t>
            </w:r>
          </w:p>
          <w:p w14:paraId="0D035806" w14:textId="77777777" w:rsidR="00452E4B" w:rsidRDefault="00452E4B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</w:p>
        </w:tc>
        <w:tc>
          <w:tcPr>
            <w:tcW w:w="1830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5454A12A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应用与服务团队建设</w:t>
            </w:r>
          </w:p>
        </w:tc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4DB7B0EF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是否有稳定的团队负责项目的开发与持续建设，力 量是否充足，是否具有多元化的背景，分工是否明确。</w:t>
            </w:r>
          </w:p>
        </w:tc>
      </w:tr>
      <w:tr w:rsidR="00452E4B" w14:paraId="7B6164D8" w14:textId="77777777">
        <w:tc>
          <w:tcPr>
            <w:tcW w:w="0" w:type="auto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5CC2DDB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507F63D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830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D7E472B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政策性支撑措施</w:t>
            </w:r>
          </w:p>
        </w:tc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307D21A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1、对虚拟仿真项目建设的持续投入；</w:t>
            </w:r>
          </w:p>
          <w:p w14:paraId="4B7FCB45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2、对学生使用虚拟项目是否有学分或学时认定；</w:t>
            </w:r>
          </w:p>
          <w:p w14:paraId="00A5EF3C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3、对教师参与开发和持续建设虚拟项目是否计算工作量；</w:t>
            </w:r>
          </w:p>
          <w:p w14:paraId="78D78A1D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4、项目认定或应用过程中取得的成绩如何认可。</w:t>
            </w:r>
          </w:p>
          <w:p w14:paraId="7FDA7903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5、学分互认机制；</w:t>
            </w:r>
          </w:p>
        </w:tc>
      </w:tr>
      <w:tr w:rsidR="00452E4B" w14:paraId="14A7B851" w14:textId="77777777">
        <w:tc>
          <w:tcPr>
            <w:tcW w:w="0" w:type="auto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62669CF1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642" w:type="dxa"/>
            <w:vMerge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159FA7BD" w14:textId="77777777" w:rsidR="00452E4B" w:rsidRDefault="00452E4B">
            <w:pPr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830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28F2BD80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服务性保障措施</w:t>
            </w:r>
          </w:p>
        </w:tc>
        <w:tc>
          <w:tcPr>
            <w:tcW w:w="0" w:type="auto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14:paraId="035CA80D" w14:textId="77777777" w:rsidR="00452E4B" w:rsidRDefault="008D742E">
            <w:pPr>
              <w:pStyle w:val="a3"/>
              <w:widowControl/>
              <w:wordWrap w:val="0"/>
              <w:spacing w:beforeAutospacing="0" w:afterAutospacing="0"/>
              <w:jc w:val="both"/>
              <w:rPr>
                <w:rFonts w:ascii="方正仿宋_GB2312" w:eastAsia="方正仿宋_GB2312" w:hAnsi="方正仿宋_GB2312" w:cs="方正仿宋_GB231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</w:rPr>
              <w:t>鼓励项目应用和共享服务的激励措施，包括收费和成本补偿机制，人员激励等；</w:t>
            </w:r>
          </w:p>
        </w:tc>
      </w:tr>
    </w:tbl>
    <w:p w14:paraId="0156BABF" w14:textId="77777777" w:rsidR="00452E4B" w:rsidRDefault="00452E4B"/>
    <w:sectPr w:rsidR="00452E4B" w:rsidSect="00452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41CE" w14:textId="77777777" w:rsidR="00AA0124" w:rsidRDefault="00AA0124" w:rsidP="002B2A67">
      <w:r>
        <w:separator/>
      </w:r>
    </w:p>
  </w:endnote>
  <w:endnote w:type="continuationSeparator" w:id="0">
    <w:p w14:paraId="417A2D6E" w14:textId="77777777" w:rsidR="00AA0124" w:rsidRDefault="00AA0124" w:rsidP="002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1883" w14:textId="77777777" w:rsidR="00AA0124" w:rsidRDefault="00AA0124" w:rsidP="002B2A67">
      <w:r>
        <w:separator/>
      </w:r>
    </w:p>
  </w:footnote>
  <w:footnote w:type="continuationSeparator" w:id="0">
    <w:p w14:paraId="4767681E" w14:textId="77777777" w:rsidR="00AA0124" w:rsidRDefault="00AA0124" w:rsidP="002B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4B"/>
    <w:rsid w:val="002B2A67"/>
    <w:rsid w:val="00452E4B"/>
    <w:rsid w:val="008D742E"/>
    <w:rsid w:val="00AA0124"/>
    <w:rsid w:val="16F43230"/>
    <w:rsid w:val="31983784"/>
    <w:rsid w:val="3E6E0E7D"/>
    <w:rsid w:val="3F3E27B8"/>
    <w:rsid w:val="78F35FCA"/>
    <w:rsid w:val="79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2C5F8"/>
  <w15:docId w15:val="{2E340082-A273-4EC7-B3E4-E7623415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2E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452E4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2E4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452E4B"/>
    <w:rPr>
      <w:b/>
    </w:rPr>
  </w:style>
  <w:style w:type="character" w:styleId="a5">
    <w:name w:val="Emphasis"/>
    <w:basedOn w:val="a0"/>
    <w:qFormat/>
    <w:rsid w:val="00452E4B"/>
    <w:rPr>
      <w:i/>
    </w:rPr>
  </w:style>
  <w:style w:type="character" w:styleId="a6">
    <w:name w:val="Hyperlink"/>
    <w:basedOn w:val="a0"/>
    <w:rsid w:val="00452E4B"/>
    <w:rPr>
      <w:color w:val="0000FF"/>
      <w:u w:val="single"/>
    </w:rPr>
  </w:style>
  <w:style w:type="paragraph" w:styleId="a7">
    <w:name w:val="header"/>
    <w:basedOn w:val="a"/>
    <w:link w:val="a8"/>
    <w:unhideWhenUsed/>
    <w:rsid w:val="002B2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B2A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nhideWhenUsed/>
    <w:rsid w:val="002B2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B2A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niclan@163.com</cp:lastModifiedBy>
  <cp:revision>2</cp:revision>
  <dcterms:created xsi:type="dcterms:W3CDTF">2022-01-18T13:56:00Z</dcterms:created>
  <dcterms:modified xsi:type="dcterms:W3CDTF">2022-01-18T13:56:00Z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274167160_btnclosed</vt:lpwstr>
  </property>
</Properties>
</file>